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9FF" w:rsidRDefault="002F79FF" w:rsidP="002F79FF">
      <w:pPr>
        <w:contextualSpacing/>
        <w:jc w:val="right"/>
        <w:rPr>
          <w:rFonts w:eastAsia="Times New Roman" w:cs="Times New Roman"/>
          <w:bCs/>
          <w:szCs w:val="28"/>
        </w:rPr>
      </w:pPr>
      <w:bookmarkStart w:id="0" w:name="_GoBack"/>
      <w:bookmarkEnd w:id="0"/>
      <w:r>
        <w:rPr>
          <w:rFonts w:eastAsia="Times New Roman" w:cs="Times New Roman"/>
          <w:bCs/>
          <w:szCs w:val="28"/>
        </w:rPr>
        <w:t xml:space="preserve">Приложение 9 к письму </w:t>
      </w:r>
    </w:p>
    <w:p w:rsidR="002F79FF" w:rsidRDefault="002F79FF" w:rsidP="002F79FF">
      <w:pPr>
        <w:contextualSpacing/>
        <w:jc w:val="right"/>
        <w:rPr>
          <w:rFonts w:eastAsia="Times New Roman" w:cs="Times New Roman"/>
          <w:bCs/>
          <w:szCs w:val="28"/>
        </w:rPr>
      </w:pPr>
      <w:proofErr w:type="spellStart"/>
      <w:r>
        <w:rPr>
          <w:rFonts w:eastAsia="Times New Roman" w:cs="Times New Roman"/>
          <w:bCs/>
          <w:szCs w:val="28"/>
        </w:rPr>
        <w:t>Рособрнадзора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r w:rsidRPr="003C71F5">
        <w:rPr>
          <w:rFonts w:eastAsia="Times New Roman" w:cs="Times New Roman"/>
          <w:bCs/>
          <w:szCs w:val="28"/>
        </w:rPr>
        <w:t xml:space="preserve">от 16 декабря 2019 г. </w:t>
      </w:r>
      <w:r>
        <w:rPr>
          <w:rFonts w:eastAsia="Times New Roman" w:cs="Times New Roman"/>
          <w:bCs/>
          <w:szCs w:val="28"/>
        </w:rPr>
        <w:t xml:space="preserve">№ 10-1059 </w:t>
      </w:r>
    </w:p>
    <w:p w:rsidR="002F79FF" w:rsidRDefault="002F79FF" w:rsidP="002F79FF">
      <w:pPr>
        <w:contextualSpacing/>
        <w:jc w:val="right"/>
        <w:rPr>
          <w:rFonts w:eastAsia="Times New Roman" w:cs="Times New Roman"/>
          <w:bCs/>
          <w:szCs w:val="28"/>
        </w:rPr>
      </w:pPr>
    </w:p>
    <w:p w:rsidR="002F79FF" w:rsidRPr="002F79FF" w:rsidRDefault="002F79FF" w:rsidP="002F79FF">
      <w:pPr>
        <w:jc w:val="center"/>
        <w:rPr>
          <w:rFonts w:eastAsia="Times New Roman" w:cs="Times New Roman"/>
          <w:b/>
          <w:sz w:val="24"/>
          <w:szCs w:val="24"/>
        </w:rPr>
      </w:pPr>
      <w:r w:rsidRPr="002F79FF">
        <w:rPr>
          <w:rFonts w:eastAsia="Times New Roman" w:cs="Times New Roman"/>
          <w:b/>
          <w:sz w:val="24"/>
          <w:szCs w:val="24"/>
        </w:rPr>
        <w:t>Выписка из Методических рекомендаций</w:t>
      </w:r>
    </w:p>
    <w:p w:rsidR="002F79FF" w:rsidRPr="002F79FF" w:rsidRDefault="002F79FF" w:rsidP="002F79FF">
      <w:pPr>
        <w:jc w:val="center"/>
        <w:rPr>
          <w:rFonts w:eastAsia="Times New Roman" w:cs="Times New Roman"/>
          <w:b/>
          <w:sz w:val="24"/>
          <w:szCs w:val="24"/>
        </w:rPr>
      </w:pPr>
      <w:r w:rsidRPr="002F79FF">
        <w:rPr>
          <w:rFonts w:eastAsia="Times New Roman" w:cs="Times New Roman"/>
          <w:b/>
          <w:sz w:val="24"/>
          <w:szCs w:val="24"/>
        </w:rPr>
        <w:t>по подготовке и проведению единого государственного экзамена в пунктах проведения экзаменов в 2020 году</w:t>
      </w:r>
    </w:p>
    <w:p w:rsidR="002F79FF" w:rsidRPr="002F79FF" w:rsidRDefault="002F79FF" w:rsidP="002F79FF">
      <w:pPr>
        <w:jc w:val="center"/>
        <w:rPr>
          <w:sz w:val="24"/>
          <w:szCs w:val="24"/>
        </w:rPr>
      </w:pPr>
      <w:r w:rsidRPr="002F79FF">
        <w:rPr>
          <w:rFonts w:eastAsia="Times New Roman" w:cs="Times New Roman"/>
          <w:b/>
          <w:sz w:val="24"/>
          <w:szCs w:val="24"/>
        </w:rPr>
        <w:t xml:space="preserve">Памятка о правилах проведения ЕГЭ в 2020 году (для ознакомления участников экзамена/родителей (законных </w:t>
      </w:r>
    </w:p>
    <w:p w:rsidR="002F79FF" w:rsidRPr="002F79FF" w:rsidRDefault="002F79FF" w:rsidP="002F79FF">
      <w:pPr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2F79FF" w:rsidRDefault="002F79FF" w:rsidP="002F79FF">
      <w:pPr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>Общая информация о порядке проведении ЕГЭ:</w:t>
      </w:r>
    </w:p>
    <w:p w:rsidR="002F79FF" w:rsidRDefault="002F79FF" w:rsidP="002F79FF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2F79FF" w:rsidRDefault="002F79FF" w:rsidP="002F79FF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ЕГЭ по всем учебным предметам начинается в 10:00 по местному времени.</w:t>
      </w:r>
    </w:p>
    <w:p w:rsidR="002F79FF" w:rsidRDefault="002F79FF" w:rsidP="002F79FF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2F79FF" w:rsidRDefault="002F79FF" w:rsidP="002F79FF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>
        <w:rPr>
          <w:rFonts w:eastAsia="Times New Roman" w:cs="Times New Roman"/>
          <w:szCs w:val="26"/>
          <w:lang w:eastAsia="ru-RU"/>
        </w:rPr>
        <w:t>Рособрнадзором</w:t>
      </w:r>
      <w:proofErr w:type="spellEnd"/>
      <w:r>
        <w:rPr>
          <w:rFonts w:eastAsia="Times New Roman" w:cs="Times New Roman"/>
          <w:szCs w:val="26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:rsidR="002F79FF" w:rsidRDefault="002F79FF" w:rsidP="002F79FF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с полученными ими результатами ЕГЭ.</w:t>
      </w:r>
    </w:p>
    <w:p w:rsidR="002F79FF" w:rsidRDefault="002F79FF" w:rsidP="002F79FF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Ознакомление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2F79FF" w:rsidRDefault="002F79FF" w:rsidP="002F79FF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ЕГЭ по математике </w:t>
      </w:r>
      <w:r>
        <w:rPr>
          <w:rFonts w:eastAsia="Times New Roman" w:cs="Times New Roman"/>
          <w:b/>
          <w:i/>
          <w:szCs w:val="26"/>
          <w:lang w:eastAsia="ru-RU"/>
        </w:rPr>
        <w:t>базового уровня</w:t>
      </w:r>
      <w:r>
        <w:rPr>
          <w:rFonts w:eastAsia="Times New Roman" w:cs="Times New Roman"/>
          <w:szCs w:val="26"/>
          <w:lang w:eastAsia="ru-RU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и НЕ признаются как результаты вступительных испытаний по математике при приёме на обучение по образовательным программам высшего образования – программам </w:t>
      </w:r>
      <w:proofErr w:type="spellStart"/>
      <w:r>
        <w:rPr>
          <w:rFonts w:eastAsia="Times New Roman" w:cs="Times New Roman"/>
          <w:szCs w:val="26"/>
          <w:lang w:eastAsia="ru-RU"/>
        </w:rPr>
        <w:t>бакалавриата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 </w:t>
      </w:r>
      <w:proofErr w:type="spellStart"/>
      <w:r>
        <w:rPr>
          <w:rFonts w:eastAsia="Times New Roman" w:cs="Times New Roman"/>
          <w:szCs w:val="26"/>
          <w:lang w:eastAsia="ru-RU"/>
        </w:rPr>
        <w:t>специалитета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– в образовательные организации высшего образования. </w:t>
      </w:r>
    </w:p>
    <w:p w:rsidR="002F79FF" w:rsidRDefault="002F79FF" w:rsidP="002F79FF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ЕГЭ по математике </w:t>
      </w:r>
      <w:r>
        <w:rPr>
          <w:rFonts w:eastAsia="Times New Roman" w:cs="Times New Roman"/>
          <w:b/>
          <w:i/>
          <w:szCs w:val="26"/>
          <w:lang w:eastAsia="ru-RU"/>
        </w:rPr>
        <w:t>профильного уровня</w:t>
      </w:r>
      <w:r>
        <w:rPr>
          <w:rFonts w:eastAsia="Times New Roman" w:cs="Times New Roman"/>
          <w:szCs w:val="26"/>
          <w:lang w:eastAsia="ru-RU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а также в качестве результатов вступительных испытаний по математике при приёме на обучение по образовательным программам высшего образования – программам </w:t>
      </w:r>
      <w:proofErr w:type="spellStart"/>
      <w:r>
        <w:rPr>
          <w:rFonts w:eastAsia="Times New Roman" w:cs="Times New Roman"/>
          <w:szCs w:val="26"/>
          <w:lang w:eastAsia="ru-RU"/>
        </w:rPr>
        <w:t>бакалавриата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 </w:t>
      </w:r>
      <w:proofErr w:type="spellStart"/>
      <w:r>
        <w:rPr>
          <w:rFonts w:eastAsia="Times New Roman" w:cs="Times New Roman"/>
          <w:szCs w:val="26"/>
          <w:lang w:eastAsia="ru-RU"/>
        </w:rPr>
        <w:t>специалитета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– в образовательные организации высшего образования.</w:t>
      </w:r>
    </w:p>
    <w:p w:rsidR="002F79FF" w:rsidRDefault="002F79FF" w:rsidP="002F79FF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ЕГЭ при приеме на обучение по программам </w:t>
      </w:r>
      <w:proofErr w:type="spellStart"/>
      <w:r>
        <w:rPr>
          <w:rFonts w:eastAsia="Times New Roman" w:cs="Times New Roman"/>
          <w:szCs w:val="26"/>
          <w:lang w:eastAsia="ru-RU"/>
        </w:rPr>
        <w:t>бакалавриата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 программам </w:t>
      </w:r>
      <w:proofErr w:type="spellStart"/>
      <w:r>
        <w:rPr>
          <w:rFonts w:eastAsia="Times New Roman" w:cs="Times New Roman"/>
          <w:szCs w:val="26"/>
          <w:lang w:eastAsia="ru-RU"/>
        </w:rPr>
        <w:t>специалитета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2F79FF" w:rsidRDefault="002F79FF" w:rsidP="002F79FF">
      <w:pPr>
        <w:keepNext/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 xml:space="preserve">Обязанности участника </w:t>
      </w:r>
      <w:r>
        <w:rPr>
          <w:rFonts w:eastAsia="Times New Roman" w:cs="Times New Roman"/>
          <w:b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color w:val="000000"/>
          <w:szCs w:val="26"/>
          <w:lang w:eastAsia="ru-RU"/>
        </w:rPr>
        <w:t xml:space="preserve"> </w:t>
      </w:r>
      <w:r>
        <w:rPr>
          <w:rFonts w:eastAsia="Times New Roman" w:cs="Times New Roman"/>
          <w:b/>
          <w:szCs w:val="26"/>
          <w:lang w:eastAsia="ru-RU"/>
        </w:rPr>
        <w:t>в рамках участия в ЕГЭ:</w:t>
      </w:r>
    </w:p>
    <w:p w:rsidR="002F79FF" w:rsidRDefault="002F79FF" w:rsidP="002F79FF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 день экзамена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должен прибыть в ППЭ не менее чем за 45 минут до его начала. Вход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в ППЭ начинается с 09.00 по местному времени. </w:t>
      </w:r>
    </w:p>
    <w:p w:rsidR="002F79FF" w:rsidRDefault="002F79FF" w:rsidP="002F79FF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Допуск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в ППЭ осуществляется при наличии у них документов, удостоверяющих их личность, и при наличии их в списках распределения в данный ППЭ. </w:t>
      </w:r>
    </w:p>
    <w:p w:rsidR="002F79FF" w:rsidRDefault="002F79FF" w:rsidP="002F79FF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 xml:space="preserve">Если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>.</w:t>
      </w:r>
    </w:p>
    <w:p w:rsidR="002F79FF" w:rsidRDefault="002F79FF" w:rsidP="002F79FF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случае проведения ЕГЭ по иностранным языкам (письменная часть, раздел «</w:t>
      </w:r>
      <w:proofErr w:type="spellStart"/>
      <w:r>
        <w:rPr>
          <w:rFonts w:eastAsia="Times New Roman" w:cs="Times New Roman"/>
          <w:szCs w:val="26"/>
          <w:lang w:eastAsia="ru-RU"/>
        </w:rPr>
        <w:t>Аудирование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</w:t>
      </w:r>
      <w:proofErr w:type="spellStart"/>
      <w:r>
        <w:rPr>
          <w:rFonts w:eastAsia="Times New Roman" w:cs="Times New Roman"/>
          <w:szCs w:val="26"/>
          <w:lang w:eastAsia="ru-RU"/>
        </w:rPr>
        <w:t>аудирование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для опоздавших участников не проводится (за исключением случая, когда в аудитории нет других участников экзамена).</w:t>
      </w:r>
    </w:p>
    <w:p w:rsidR="002F79FF" w:rsidRDefault="002F79FF" w:rsidP="002F79FF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Повторный общий инструктаж для опоздавших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не проводится. Организаторы предоставляют необходимую информацию для заполнения регистрационных полей бланков ЕГЭ.</w:t>
      </w:r>
    </w:p>
    <w:p w:rsidR="002F79FF" w:rsidRDefault="002F79FF" w:rsidP="002F79FF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 случае отсутствия по объективным причинам у участника </w:t>
      </w:r>
      <w:proofErr w:type="gramStart"/>
      <w:r>
        <w:rPr>
          <w:rFonts w:eastAsia="Times New Roman" w:cs="Times New Roman"/>
          <w:szCs w:val="26"/>
          <w:lang w:eastAsia="ru-RU"/>
        </w:rPr>
        <w:t>ГИА  документа</w:t>
      </w:r>
      <w:proofErr w:type="gramEnd"/>
      <w:r>
        <w:rPr>
          <w:rFonts w:eastAsia="Times New Roman" w:cs="Times New Roman"/>
          <w:szCs w:val="26"/>
          <w:lang w:eastAsia="ru-RU"/>
        </w:rPr>
        <w:t>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2F79FF" w:rsidRDefault="002F79FF" w:rsidP="002F79FF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</w:t>
      </w:r>
    </w:p>
    <w:p w:rsidR="002F79FF" w:rsidRDefault="002F79FF" w:rsidP="002F79FF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4. В день проведения экзамена (в период с момента входа в ППЭ и до окончания экзамена) в ППЭ участникам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</w:t>
      </w:r>
      <w:r>
        <w:t xml:space="preserve"> </w:t>
      </w:r>
      <w:r>
        <w:rPr>
          <w:rFonts w:eastAsia="Times New Roman" w:cs="Times New Roman"/>
          <w:szCs w:val="26"/>
          <w:lang w:eastAsia="ru-RU"/>
        </w:rPr>
        <w:t xml:space="preserve">со штампом образовательной организации, на базе которой организован ППЭ, на бумажном или электронном носителях, фотографировать экзаменационные материалы. </w:t>
      </w:r>
    </w:p>
    <w:p w:rsidR="002F79FF" w:rsidRDefault="002F79FF" w:rsidP="002F79FF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Рекомендуется взять с собой на экзамен только необходимые вещи. Иные личные вещи участники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. Указанное место для личных вещей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2F79FF" w:rsidRDefault="002F79FF" w:rsidP="002F79FF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5. Участники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2F79FF" w:rsidRDefault="002F79FF" w:rsidP="002F79FF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6. Во время экзамена участникам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2F79FF" w:rsidRDefault="002F79FF" w:rsidP="002F79FF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При выходе из аудитории во время экзамена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должен оставить экзаменационные материалы, листы бумаги для черновиков со штампом образовательной организации, на базе которой организован ППЭ, и письменные принадлежности на рабочем столе.</w:t>
      </w:r>
    </w:p>
    <w:p w:rsidR="002F79FF" w:rsidRDefault="002F79FF" w:rsidP="002F79FF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7. Участники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Порядка подтверждается, председатель ГЭК принимает решение об аннулировании результатов участника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 соответствующему учебному предмету. </w:t>
      </w:r>
    </w:p>
    <w:p w:rsidR="002F79FF" w:rsidRDefault="002F79FF" w:rsidP="002F79FF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</w:t>
      </w:r>
      <w:r>
        <w:rPr>
          <w:rFonts w:eastAsia="Times New Roman" w:cs="Times New Roman"/>
          <w:szCs w:val="26"/>
          <w:lang w:eastAsia="ru-RU"/>
        </w:rPr>
        <w:lastRenderedPageBreak/>
        <w:t>соответствии с ч. 4 ст. 19.30. Кодекса Российской Федерации об административных правонарушениях от 30.12.2001 № 195-ФЗ</w:t>
      </w:r>
    </w:p>
    <w:p w:rsidR="002F79FF" w:rsidRDefault="002F79FF" w:rsidP="002F79FF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8. Экзаменационная работа выполняется </w:t>
      </w:r>
      <w:proofErr w:type="spellStart"/>
      <w:r>
        <w:rPr>
          <w:rFonts w:eastAsia="Times New Roman" w:cs="Times New Roman"/>
          <w:szCs w:val="26"/>
          <w:lang w:eastAsia="ru-RU"/>
        </w:rPr>
        <w:t>гелевой</w:t>
      </w:r>
      <w:proofErr w:type="spellEnd"/>
      <w:r>
        <w:rPr>
          <w:rFonts w:eastAsia="Times New Roman" w:cs="Times New Roman"/>
          <w:szCs w:val="26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2F79FF" w:rsidRDefault="002F79FF" w:rsidP="002F79FF">
      <w:pPr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 xml:space="preserve">Права участника </w:t>
      </w:r>
      <w:r>
        <w:rPr>
          <w:rFonts w:eastAsia="Times New Roman" w:cs="Times New Roman"/>
          <w:b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b/>
          <w:szCs w:val="26"/>
          <w:lang w:eastAsia="ru-RU"/>
        </w:rPr>
        <w:t xml:space="preserve"> в рамках участия в ЕГЭ:</w:t>
      </w:r>
    </w:p>
    <w:p w:rsidR="002F79FF" w:rsidRDefault="002F79FF" w:rsidP="002F79FF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может при выполнении работы использовать листы бумаги для черновиков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листы бумаги для черновиков не выдаются).</w:t>
      </w:r>
    </w:p>
    <w:p w:rsidR="002F79FF" w:rsidRDefault="002F79FF" w:rsidP="002F79FF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Внимание! Листы бумаги для черновиков со штампом образовательной организации, на базе которой организован ППЭ и КИМ не проверяются и записи в них не учитываются при обработке. </w:t>
      </w:r>
    </w:p>
    <w:p w:rsidR="002F79FF" w:rsidRDefault="002F79FF" w:rsidP="002F79FF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2. Участник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в сопровождении организатора проходит в медицинский кабинет,</w:t>
      </w:r>
      <w:r>
        <w:t xml:space="preserve"> </w:t>
      </w:r>
      <w:r>
        <w:rPr>
          <w:rFonts w:eastAsia="Times New Roman" w:cs="Times New Roman"/>
          <w:szCs w:val="26"/>
          <w:lang w:eastAsia="ru-RU"/>
        </w:rPr>
        <w:t xml:space="preserve">куда приглашается член ГЭК. В случае согласия участника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досрочно завершить экзамен составляется Акт о досрочном завершении экзамена по объективным причинам. В дальнейшем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 решению председателя ГЭК сможет сдать экзамен по данному предмету в резервные сроки. </w:t>
      </w:r>
    </w:p>
    <w:p w:rsidR="002F79FF" w:rsidRDefault="002F79FF" w:rsidP="002F79FF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3. Участники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>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2F79FF" w:rsidRDefault="002F79FF" w:rsidP="002F79FF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4. В случае если участник ГИА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учебном году в резервные сроки (не более одного раза).</w:t>
      </w:r>
    </w:p>
    <w:p w:rsidR="002F79FF" w:rsidRDefault="002F79FF" w:rsidP="002F79FF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Участникам экзамена,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2F79FF" w:rsidRDefault="002F79FF" w:rsidP="002F79FF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5. Участникам ГИА,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 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</w:p>
    <w:p w:rsidR="002F79FF" w:rsidRDefault="002F79FF" w:rsidP="002F79FF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6.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2F79FF" w:rsidRDefault="002F79FF" w:rsidP="002F79FF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заполнением бланков ЕГЭ и ГВЭ.</w:t>
      </w:r>
    </w:p>
    <w:p w:rsidR="002F79FF" w:rsidRDefault="002F79FF" w:rsidP="002F79FF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Участники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заблаговременно информируются о времени, месте и порядке рассмотрения апелляций.</w:t>
      </w:r>
    </w:p>
    <w:p w:rsidR="002F79FF" w:rsidRDefault="002F79FF" w:rsidP="002F79FF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Участник экзамена и (или) его родители (законные представители) при желании присутствуют при рассмотрении апелляции.</w:t>
      </w:r>
    </w:p>
    <w:p w:rsidR="002F79FF" w:rsidRDefault="002F79FF" w:rsidP="002F79FF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>Апелляцию о нарушении установленного Порядка проведения ГИА</w:t>
      </w:r>
      <w:r>
        <w:rPr>
          <w:rFonts w:eastAsia="Times New Roman" w:cs="Times New Roman"/>
          <w:szCs w:val="26"/>
          <w:lang w:eastAsia="ru-RU"/>
        </w:rPr>
        <w:t xml:space="preserve">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подает в день проведения экзамена члену ГЭК, не покидая ППЭ. </w:t>
      </w:r>
    </w:p>
    <w:p w:rsidR="002F79FF" w:rsidRDefault="002F79FF" w:rsidP="002F79FF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</w:t>
      </w:r>
      <w:r>
        <w:rPr>
          <w:rFonts w:eastAsia="Times New Roman" w:cs="Times New Roman"/>
          <w:szCs w:val="26"/>
          <w:lang w:eastAsia="ru-RU"/>
        </w:rPr>
        <w:lastRenderedPageBreak/>
        <w:t>выносит одно из решений:</w:t>
      </w:r>
    </w:p>
    <w:p w:rsidR="002F79FF" w:rsidRDefault="002F79FF" w:rsidP="002F79FF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об отклонении апелляции;</w:t>
      </w:r>
    </w:p>
    <w:p w:rsidR="002F79FF" w:rsidRDefault="002F79FF" w:rsidP="002F79FF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об удовлетворении апелляции.</w:t>
      </w:r>
    </w:p>
    <w:p w:rsidR="002F79FF" w:rsidRDefault="002F79FF" w:rsidP="002F79FF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При удовлетворении апелляции результат ЕГЭ, по процедуре которого участником </w:t>
      </w:r>
      <w:r>
        <w:rPr>
          <w:rFonts w:cs="Times New Roman"/>
          <w:bCs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была подана апелляция, аннулируется и участнику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2F79FF" w:rsidRDefault="002F79FF" w:rsidP="002F79FF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>Апелляция о несогласии с выставленными баллами</w:t>
      </w:r>
      <w:r>
        <w:rPr>
          <w:rFonts w:eastAsia="Times New Roman" w:cs="Times New Roman"/>
          <w:szCs w:val="26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Участники ГИА подают апелляцию о несогласии с выставленными баллами в образовательную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организацию, </w:t>
      </w:r>
      <w:r>
        <w:rPr>
          <w:rFonts w:eastAsia="Times New Roman" w:cs="Times New Roman"/>
          <w:szCs w:val="26"/>
          <w:lang w:eastAsia="ru-RU"/>
        </w:rPr>
        <w:t>которой они были допущены к ГИА, участники ЕГЭ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2F79FF" w:rsidRDefault="002F79FF" w:rsidP="002F79FF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, копии протоколов проверки экзаменационной работы предметной комиссией и КИМ участников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>, подавших апелляцию.</w:t>
      </w:r>
    </w:p>
    <w:p w:rsidR="002F79FF" w:rsidRDefault="002F79FF" w:rsidP="002F79FF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Указанные материалы предъявляются участникам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 (в случае его присутствия при рассмотрении апелляции). </w:t>
      </w:r>
    </w:p>
    <w:p w:rsidR="002F79FF" w:rsidRDefault="002F79FF" w:rsidP="002F79FF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участника экзамена,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2F79FF" w:rsidRDefault="002F79FF" w:rsidP="002F79FF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 их собственному желанию. Для этого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пишет заявление об отзыве поданной им апелляции. Участники ГИА подают соответствующее заявление в письменной форме в образовательные организации, которыми они были допущены в установленном порядке к ГИА, участники ЕГЭ – в конфликтную комиссию или в иные места, определенные ОИВ.</w:t>
      </w:r>
    </w:p>
    <w:p w:rsidR="002F79FF" w:rsidRDefault="002F79FF" w:rsidP="002F79FF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2F79FF" w:rsidRDefault="002F79FF" w:rsidP="002F79FF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</w:p>
    <w:p w:rsidR="002F79FF" w:rsidRDefault="002F79FF" w:rsidP="002F79FF">
      <w:pPr>
        <w:jc w:val="both"/>
        <w:rPr>
          <w:rFonts w:eastAsia="Times New Roman" w:cs="Times New Roman"/>
          <w:i/>
          <w:szCs w:val="26"/>
          <w:lang w:eastAsia="ru-RU"/>
        </w:rPr>
      </w:pPr>
      <w:r>
        <w:rPr>
          <w:rFonts w:eastAsia="Times New Roman" w:cs="Times New Roman"/>
          <w:i/>
          <w:szCs w:val="26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2F79FF" w:rsidRDefault="002F79FF" w:rsidP="002F79FF">
      <w:pPr>
        <w:contextualSpacing/>
        <w:jc w:val="both"/>
        <w:rPr>
          <w:rFonts w:eastAsia="Times New Roman" w:cs="Times New Roman"/>
          <w:i/>
          <w:szCs w:val="26"/>
          <w:lang w:eastAsia="ru-RU"/>
        </w:rPr>
      </w:pPr>
      <w:r>
        <w:rPr>
          <w:rFonts w:eastAsia="Times New Roman" w:cs="Times New Roman"/>
          <w:i/>
          <w:szCs w:val="26"/>
          <w:lang w:eastAsia="ru-RU"/>
        </w:rPr>
        <w:t>1.</w:t>
      </w:r>
      <w:r>
        <w:rPr>
          <w:rFonts w:eastAsia="Times New Roman" w:cs="Times New Roman"/>
          <w:i/>
          <w:szCs w:val="26"/>
          <w:lang w:eastAsia="ru-RU"/>
        </w:rPr>
        <w:tab/>
        <w:t>Федеральным законом от 29.12.2012 № 273-ФЗ «Об образовании в Российской Федерации».</w:t>
      </w:r>
    </w:p>
    <w:p w:rsidR="002F79FF" w:rsidRDefault="002F79FF" w:rsidP="002F79FF">
      <w:pPr>
        <w:contextualSpacing/>
        <w:jc w:val="both"/>
        <w:rPr>
          <w:rFonts w:eastAsia="Times New Roman" w:cs="Times New Roman"/>
          <w:i/>
          <w:szCs w:val="26"/>
          <w:lang w:eastAsia="ru-RU"/>
        </w:rPr>
      </w:pPr>
      <w:r>
        <w:rPr>
          <w:rFonts w:eastAsia="Times New Roman" w:cs="Times New Roman"/>
          <w:i/>
          <w:szCs w:val="26"/>
          <w:lang w:eastAsia="ru-RU"/>
        </w:rPr>
        <w:t>2.</w:t>
      </w:r>
      <w:r>
        <w:rPr>
          <w:rFonts w:eastAsia="Times New Roman" w:cs="Times New Roman"/>
          <w:i/>
          <w:szCs w:val="26"/>
          <w:lang w:eastAsia="ru-RU"/>
        </w:rPr>
        <w:tab/>
        <w:t xml:space="preserve"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</w:t>
      </w:r>
      <w:r>
        <w:rPr>
          <w:rFonts w:eastAsia="Times New Roman" w:cs="Times New Roman"/>
          <w:i/>
          <w:szCs w:val="26"/>
          <w:lang w:eastAsia="ru-RU"/>
        </w:rPr>
        <w:lastRenderedPageBreak/>
        <w:t>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:rsidR="002F79FF" w:rsidRDefault="002F79FF" w:rsidP="002F79FF">
      <w:pPr>
        <w:contextualSpacing/>
        <w:jc w:val="both"/>
        <w:rPr>
          <w:rFonts w:eastAsia="Times New Roman" w:cs="Times New Roman"/>
          <w:i/>
          <w:szCs w:val="26"/>
          <w:lang w:eastAsia="ru-RU"/>
        </w:rPr>
      </w:pPr>
      <w:r>
        <w:rPr>
          <w:rFonts w:eastAsia="Times New Roman" w:cs="Times New Roman"/>
          <w:i/>
          <w:szCs w:val="26"/>
          <w:lang w:eastAsia="ru-RU"/>
        </w:rPr>
        <w:t>3.</w:t>
      </w:r>
      <w:r>
        <w:rPr>
          <w:rFonts w:eastAsia="Times New Roman" w:cs="Times New Roman"/>
          <w:i/>
          <w:szCs w:val="26"/>
          <w:lang w:eastAsia="ru-RU"/>
        </w:rPr>
        <w:tab/>
        <w:t xml:space="preserve">Приказом </w:t>
      </w:r>
      <w:proofErr w:type="spellStart"/>
      <w:r>
        <w:rPr>
          <w:rFonts w:eastAsia="Times New Roman" w:cs="Times New Roman"/>
          <w:i/>
          <w:szCs w:val="26"/>
          <w:lang w:eastAsia="ru-RU"/>
        </w:rPr>
        <w:t>Минпросвещения</w:t>
      </w:r>
      <w:proofErr w:type="spellEnd"/>
      <w:r>
        <w:rPr>
          <w:rFonts w:eastAsia="Times New Roman" w:cs="Times New Roman"/>
          <w:i/>
          <w:szCs w:val="26"/>
          <w:lang w:eastAsia="ru-RU"/>
        </w:rPr>
        <w:t xml:space="preserve"> России и </w:t>
      </w:r>
      <w:proofErr w:type="spellStart"/>
      <w:r>
        <w:rPr>
          <w:rFonts w:eastAsia="Times New Roman" w:cs="Times New Roman"/>
          <w:i/>
          <w:szCs w:val="26"/>
          <w:lang w:eastAsia="ru-RU"/>
        </w:rPr>
        <w:t>Рособрнадзора</w:t>
      </w:r>
      <w:proofErr w:type="spellEnd"/>
      <w:r>
        <w:rPr>
          <w:rFonts w:eastAsia="Times New Roman" w:cs="Times New Roman"/>
          <w:i/>
          <w:szCs w:val="26"/>
          <w:lang w:eastAsia="ru-RU"/>
        </w:rPr>
        <w:t xml:space="preserve"> от 07.11.2018 № 190/1512 «Об утверждении Порядка проведения государственной итоговой аттестации по образовательным программам среднего общего образования» (зарегистрирован Минюстом России 10.12.2018, регистрационный № 52952).</w:t>
      </w:r>
    </w:p>
    <w:p w:rsidR="002F79FF" w:rsidRDefault="002F79FF" w:rsidP="002F79FF">
      <w:pPr>
        <w:contextualSpacing/>
        <w:jc w:val="both"/>
        <w:rPr>
          <w:rFonts w:eastAsia="Times New Roman" w:cs="Times New Roman"/>
          <w:szCs w:val="26"/>
          <w:lang w:eastAsia="ru-RU"/>
        </w:rPr>
      </w:pPr>
    </w:p>
    <w:p w:rsidR="002F79FF" w:rsidRDefault="002F79FF" w:rsidP="002F79FF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>С правилами проведения ЕГЭ ознакомлен (а):</w:t>
      </w:r>
    </w:p>
    <w:p w:rsidR="002F79FF" w:rsidRDefault="002F79FF" w:rsidP="002F79FF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</w:p>
    <w:p w:rsidR="002F79FF" w:rsidRDefault="002F79FF" w:rsidP="002F79FF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 xml:space="preserve">Участник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</w:p>
    <w:p w:rsidR="002F79FF" w:rsidRDefault="002F79FF" w:rsidP="002F79FF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 xml:space="preserve"> ___________________(_____________________)</w:t>
      </w:r>
    </w:p>
    <w:p w:rsidR="002F79FF" w:rsidRDefault="002F79FF" w:rsidP="002F79FF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</w:p>
    <w:p w:rsidR="002F79FF" w:rsidRDefault="002F79FF" w:rsidP="002F79FF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>«__</w:t>
      </w:r>
      <w:proofErr w:type="gramStart"/>
      <w:r>
        <w:rPr>
          <w:rFonts w:eastAsia="Times New Roman" w:cs="Times New Roman"/>
          <w:sz w:val="24"/>
          <w:szCs w:val="26"/>
          <w:lang w:eastAsia="ru-RU"/>
        </w:rPr>
        <w:t>_»_</w:t>
      </w:r>
      <w:proofErr w:type="gramEnd"/>
      <w:r>
        <w:rPr>
          <w:rFonts w:eastAsia="Times New Roman" w:cs="Times New Roman"/>
          <w:sz w:val="24"/>
          <w:szCs w:val="26"/>
          <w:lang w:eastAsia="ru-RU"/>
        </w:rPr>
        <w:t>______20__г.</w:t>
      </w:r>
    </w:p>
    <w:p w:rsidR="002F79FF" w:rsidRDefault="002F79FF" w:rsidP="002F79FF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</w:p>
    <w:p w:rsidR="002F79FF" w:rsidRDefault="002F79FF" w:rsidP="002F79FF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 xml:space="preserve">Родитель/законный представитель несовершеннолетнего участника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</w:p>
    <w:p w:rsidR="002F79FF" w:rsidRDefault="002F79FF" w:rsidP="002F79FF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>___________________(_____________________)</w:t>
      </w:r>
    </w:p>
    <w:p w:rsidR="002F79FF" w:rsidRDefault="002F79FF" w:rsidP="002F79FF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</w:p>
    <w:p w:rsidR="002F79FF" w:rsidRDefault="002F79FF" w:rsidP="002F79FF">
      <w:pPr>
        <w:jc w:val="both"/>
      </w:pPr>
      <w:r>
        <w:rPr>
          <w:rFonts w:eastAsia="Times New Roman" w:cs="Times New Roman"/>
          <w:sz w:val="24"/>
          <w:szCs w:val="26"/>
          <w:lang w:eastAsia="ru-RU"/>
        </w:rPr>
        <w:t>«__</w:t>
      </w:r>
      <w:proofErr w:type="gramStart"/>
      <w:r>
        <w:rPr>
          <w:rFonts w:eastAsia="Times New Roman" w:cs="Times New Roman"/>
          <w:sz w:val="24"/>
          <w:szCs w:val="26"/>
          <w:lang w:eastAsia="ru-RU"/>
        </w:rPr>
        <w:t>_»_</w:t>
      </w:r>
      <w:proofErr w:type="gramEnd"/>
      <w:r>
        <w:rPr>
          <w:rFonts w:eastAsia="Times New Roman" w:cs="Times New Roman"/>
          <w:sz w:val="24"/>
          <w:szCs w:val="26"/>
          <w:lang w:eastAsia="ru-RU"/>
        </w:rPr>
        <w:t>______20__г.</w:t>
      </w:r>
    </w:p>
    <w:p w:rsidR="002F79FF" w:rsidRDefault="002F79FF" w:rsidP="002F79FF">
      <w:pPr>
        <w:jc w:val="center"/>
        <w:rPr>
          <w:rFonts w:eastAsia="Times New Roman" w:cs="Times New Roman"/>
          <w:b/>
          <w:sz w:val="36"/>
          <w:szCs w:val="36"/>
        </w:rPr>
      </w:pPr>
    </w:p>
    <w:p w:rsidR="002F79FF" w:rsidRDefault="002F79FF" w:rsidP="002F79FF">
      <w:pPr>
        <w:jc w:val="center"/>
        <w:rPr>
          <w:rFonts w:eastAsia="Times New Roman" w:cs="Times New Roman"/>
          <w:szCs w:val="26"/>
          <w:lang w:eastAsia="ru-RU"/>
        </w:rPr>
      </w:pPr>
    </w:p>
    <w:p w:rsidR="00522C9D" w:rsidRDefault="00522C9D"/>
    <w:sectPr w:rsidR="00522C9D" w:rsidSect="002F79F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F224E"/>
    <w:multiLevelType w:val="multilevel"/>
    <w:tmpl w:val="768AE9EE"/>
    <w:lvl w:ilvl="0">
      <w:start w:val="1"/>
      <w:numFmt w:val="decimal"/>
      <w:pStyle w:val="1"/>
      <w:lvlText w:val="%1."/>
      <w:lvlJc w:val="left"/>
      <w:pPr>
        <w:ind w:left="360" w:hanging="359"/>
      </w:pPr>
    </w:lvl>
    <w:lvl w:ilvl="1">
      <w:start w:val="1"/>
      <w:numFmt w:val="decimal"/>
      <w:pStyle w:val="2"/>
      <w:lvlText w:val="%1.%2."/>
      <w:lvlJc w:val="left"/>
      <w:pPr>
        <w:ind w:left="8938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abstractNum w:abstractNumId="1" w15:restartNumberingAfterBreak="0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0AF4A952">
      <w:start w:val="1"/>
      <w:numFmt w:val="lowerLetter"/>
      <w:lvlText w:val="%2."/>
      <w:lvlJc w:val="left"/>
      <w:pPr>
        <w:ind w:left="1789" w:hanging="359"/>
      </w:pPr>
    </w:lvl>
    <w:lvl w:ilvl="2" w:tplc="3D30E106">
      <w:start w:val="1"/>
      <w:numFmt w:val="lowerRoman"/>
      <w:lvlText w:val="%3."/>
      <w:lvlJc w:val="right"/>
      <w:pPr>
        <w:ind w:left="2509" w:hanging="179"/>
      </w:pPr>
    </w:lvl>
    <w:lvl w:ilvl="3" w:tplc="5DDC2AF0">
      <w:start w:val="1"/>
      <w:numFmt w:val="decimal"/>
      <w:lvlText w:val="%4."/>
      <w:lvlJc w:val="left"/>
      <w:pPr>
        <w:ind w:left="3229" w:hanging="359"/>
      </w:pPr>
    </w:lvl>
    <w:lvl w:ilvl="4" w:tplc="7D0E09D6">
      <w:start w:val="1"/>
      <w:numFmt w:val="lowerLetter"/>
      <w:lvlText w:val="%5."/>
      <w:lvlJc w:val="left"/>
      <w:pPr>
        <w:ind w:left="3949" w:hanging="359"/>
      </w:pPr>
    </w:lvl>
    <w:lvl w:ilvl="5" w:tplc="9BFC7A24">
      <w:start w:val="1"/>
      <w:numFmt w:val="lowerRoman"/>
      <w:lvlText w:val="%6."/>
      <w:lvlJc w:val="right"/>
      <w:pPr>
        <w:ind w:left="4669" w:hanging="179"/>
      </w:pPr>
    </w:lvl>
    <w:lvl w:ilvl="6" w:tplc="31E2FEE2">
      <w:start w:val="1"/>
      <w:numFmt w:val="decimal"/>
      <w:lvlText w:val="%7."/>
      <w:lvlJc w:val="left"/>
      <w:pPr>
        <w:ind w:left="5389" w:hanging="359"/>
      </w:pPr>
    </w:lvl>
    <w:lvl w:ilvl="7" w:tplc="DA1CE190">
      <w:start w:val="1"/>
      <w:numFmt w:val="lowerLetter"/>
      <w:lvlText w:val="%8."/>
      <w:lvlJc w:val="left"/>
      <w:pPr>
        <w:ind w:left="6109" w:hanging="359"/>
      </w:pPr>
    </w:lvl>
    <w:lvl w:ilvl="8" w:tplc="CB982594">
      <w:start w:val="1"/>
      <w:numFmt w:val="lowerRoman"/>
      <w:lvlText w:val="%9."/>
      <w:lvlJc w:val="right"/>
      <w:pPr>
        <w:ind w:left="6829" w:hanging="179"/>
      </w:pPr>
    </w:lvl>
  </w:abstractNum>
  <w:abstractNum w:abstractNumId="2" w15:restartNumberingAfterBreak="0">
    <w:nsid w:val="4C18045B"/>
    <w:multiLevelType w:val="hybridMultilevel"/>
    <w:tmpl w:val="954C0A1A"/>
    <w:lvl w:ilvl="0" w:tplc="C714F04A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D3BA2A30">
      <w:start w:val="1"/>
      <w:numFmt w:val="lowerLetter"/>
      <w:lvlText w:val="%2."/>
      <w:lvlJc w:val="left"/>
      <w:pPr>
        <w:ind w:left="1789" w:hanging="359"/>
      </w:pPr>
    </w:lvl>
    <w:lvl w:ilvl="2" w:tplc="F06263B4">
      <w:start w:val="1"/>
      <w:numFmt w:val="lowerRoman"/>
      <w:lvlText w:val="%3."/>
      <w:lvlJc w:val="right"/>
      <w:pPr>
        <w:ind w:left="2509" w:hanging="179"/>
      </w:pPr>
    </w:lvl>
    <w:lvl w:ilvl="3" w:tplc="7F4C0B96">
      <w:start w:val="1"/>
      <w:numFmt w:val="decimal"/>
      <w:lvlText w:val="%4."/>
      <w:lvlJc w:val="left"/>
      <w:pPr>
        <w:ind w:left="3229" w:hanging="359"/>
      </w:pPr>
    </w:lvl>
    <w:lvl w:ilvl="4" w:tplc="E54414FC">
      <w:start w:val="1"/>
      <w:numFmt w:val="lowerLetter"/>
      <w:lvlText w:val="%5."/>
      <w:lvlJc w:val="left"/>
      <w:pPr>
        <w:ind w:left="3949" w:hanging="359"/>
      </w:pPr>
    </w:lvl>
    <w:lvl w:ilvl="5" w:tplc="4DAEA292">
      <w:start w:val="1"/>
      <w:numFmt w:val="lowerRoman"/>
      <w:lvlText w:val="%6."/>
      <w:lvlJc w:val="right"/>
      <w:pPr>
        <w:ind w:left="4669" w:hanging="179"/>
      </w:pPr>
    </w:lvl>
    <w:lvl w:ilvl="6" w:tplc="4D96DCFC">
      <w:start w:val="1"/>
      <w:numFmt w:val="decimal"/>
      <w:lvlText w:val="%7."/>
      <w:lvlJc w:val="left"/>
      <w:pPr>
        <w:ind w:left="5389" w:hanging="359"/>
      </w:pPr>
    </w:lvl>
    <w:lvl w:ilvl="7" w:tplc="32AECC20">
      <w:start w:val="1"/>
      <w:numFmt w:val="lowerLetter"/>
      <w:lvlText w:val="%8."/>
      <w:lvlJc w:val="left"/>
      <w:pPr>
        <w:ind w:left="6109" w:hanging="359"/>
      </w:pPr>
    </w:lvl>
    <w:lvl w:ilvl="8" w:tplc="8190E11E">
      <w:start w:val="1"/>
      <w:numFmt w:val="lowerRoman"/>
      <w:lvlText w:val="%9."/>
      <w:lvlJc w:val="right"/>
      <w:pPr>
        <w:ind w:left="6829" w:hanging="179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FF"/>
    <w:rsid w:val="002F6E15"/>
    <w:rsid w:val="002F79FF"/>
    <w:rsid w:val="00382BB0"/>
    <w:rsid w:val="0052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BDA6"/>
  <w15:chartTrackingRefBased/>
  <w15:docId w15:val="{894936F7-CD71-42CF-ACDE-4A9E7A5F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9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2F79FF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2F79FF"/>
    <w:pPr>
      <w:keepNext/>
      <w:keepLines/>
      <w:numPr>
        <w:ilvl w:val="1"/>
        <w:numId w:val="1"/>
      </w:numPr>
      <w:spacing w:before="120" w:after="120"/>
      <w:ind w:left="788" w:hanging="430"/>
      <w:outlineLvl w:val="1"/>
    </w:pPr>
    <w:rPr>
      <w:rFonts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2F79FF"/>
    <w:rPr>
      <w:rFonts w:ascii="Times New Roman" w:eastAsia="Calibri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2F7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2320</Words>
  <Characters>13228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2019-12-26T08:09:00Z</dcterms:created>
  <dcterms:modified xsi:type="dcterms:W3CDTF">2019-12-26T08:19:00Z</dcterms:modified>
</cp:coreProperties>
</file>